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6F73" w14:textId="77777777" w:rsidR="006140A5" w:rsidRPr="006140A5" w:rsidRDefault="006140A5" w:rsidP="006140A5">
      <w:pPr>
        <w:rPr>
          <w:b/>
          <w:bCs/>
        </w:rPr>
      </w:pPr>
      <w:r w:rsidRPr="006140A5">
        <w:rPr>
          <w:b/>
          <w:bCs/>
        </w:rPr>
        <w:t>Supplement &amp; Wellness Information Disclaimer</w:t>
      </w:r>
    </w:p>
    <w:p w14:paraId="26406F96" w14:textId="77777777" w:rsidR="006140A5" w:rsidRPr="006140A5" w:rsidRDefault="006140A5" w:rsidP="006140A5">
      <w:pPr>
        <w:rPr>
          <w:b/>
          <w:bCs/>
        </w:rPr>
      </w:pPr>
      <w:r w:rsidRPr="006140A5">
        <w:rPr>
          <w:b/>
          <w:bCs/>
        </w:rPr>
        <w:t>Educational Purpose of Wellness Information</w:t>
      </w:r>
    </w:p>
    <w:p w14:paraId="11059B0C" w14:textId="77777777" w:rsidR="006140A5" w:rsidRPr="006140A5" w:rsidRDefault="006140A5" w:rsidP="006140A5">
      <w:r w:rsidRPr="006140A5">
        <w:t>Information presented through this website, educational programs, courses, workshops, podcasts, videos, social media content, downloadable materials, presentations, and related resources regarding supplements, nutrition, lifestyle practices, wellness strategies, stress adaptation, environmental influences, and health-supportive approaches is provided for educational and informational purposes only.</w:t>
      </w:r>
    </w:p>
    <w:p w14:paraId="1F19CEC3" w14:textId="77777777" w:rsidR="006140A5" w:rsidRPr="006140A5" w:rsidRDefault="006140A5" w:rsidP="006140A5">
      <w:r w:rsidRPr="006140A5">
        <w:t>The inclusion of any supplement, nutritional strategy, wellness practice, lifestyle intervention, educational protocol, or health-supportive recommendation does not constitute medical advice, diagnosis, treatment, or individualized healthcare guidance.</w:t>
      </w:r>
    </w:p>
    <w:p w14:paraId="3C1DD98B" w14:textId="77777777" w:rsidR="006140A5" w:rsidRPr="006140A5" w:rsidRDefault="006140A5" w:rsidP="006140A5">
      <w:r w:rsidRPr="006140A5">
        <w:pict w14:anchorId="12F15D7A">
          <v:rect id="_x0000_i1025" style="width:0;height:1.5pt" o:hralign="center" o:hrstd="t" o:hr="t" fillcolor="#a0a0a0" stroked="f"/>
        </w:pict>
      </w:r>
    </w:p>
    <w:p w14:paraId="602F8701" w14:textId="77777777" w:rsidR="006140A5" w:rsidRPr="006140A5" w:rsidRDefault="006140A5" w:rsidP="006140A5">
      <w:pPr>
        <w:rPr>
          <w:b/>
          <w:bCs/>
        </w:rPr>
      </w:pPr>
      <w:r w:rsidRPr="006140A5">
        <w:rPr>
          <w:b/>
          <w:bCs/>
        </w:rPr>
        <w:t>Individual Responses May Vary</w:t>
      </w:r>
    </w:p>
    <w:p w14:paraId="1A5B2594" w14:textId="77777777" w:rsidR="006140A5" w:rsidRPr="006140A5" w:rsidRDefault="006140A5" w:rsidP="006140A5">
      <w:r w:rsidRPr="006140A5">
        <w:t>Responses to supplements, nutritional approaches, lifestyle modifications, wellness practices, and health-supportive interventions vary significantly among individuals.</w:t>
      </w:r>
    </w:p>
    <w:p w14:paraId="35BD6E0A" w14:textId="77777777" w:rsidR="006140A5" w:rsidRPr="006140A5" w:rsidRDefault="006140A5" w:rsidP="006140A5">
      <w:r w:rsidRPr="006140A5">
        <w:t>Factors that may influence outcomes include:</w:t>
      </w:r>
    </w:p>
    <w:p w14:paraId="3F335637" w14:textId="77777777" w:rsidR="006140A5" w:rsidRPr="006140A5" w:rsidRDefault="006140A5" w:rsidP="006140A5">
      <w:pPr>
        <w:numPr>
          <w:ilvl w:val="0"/>
          <w:numId w:val="1"/>
        </w:numPr>
      </w:pPr>
      <w:r w:rsidRPr="006140A5">
        <w:t xml:space="preserve">age, </w:t>
      </w:r>
    </w:p>
    <w:p w14:paraId="2F7F5AFE" w14:textId="77777777" w:rsidR="006140A5" w:rsidRPr="006140A5" w:rsidRDefault="006140A5" w:rsidP="006140A5">
      <w:pPr>
        <w:numPr>
          <w:ilvl w:val="0"/>
          <w:numId w:val="1"/>
        </w:numPr>
      </w:pPr>
      <w:r w:rsidRPr="006140A5">
        <w:t xml:space="preserve">genetics, </w:t>
      </w:r>
    </w:p>
    <w:p w14:paraId="43D2820A" w14:textId="77777777" w:rsidR="006140A5" w:rsidRPr="006140A5" w:rsidRDefault="006140A5" w:rsidP="006140A5">
      <w:pPr>
        <w:numPr>
          <w:ilvl w:val="0"/>
          <w:numId w:val="1"/>
        </w:numPr>
      </w:pPr>
      <w:r w:rsidRPr="006140A5">
        <w:t xml:space="preserve">health history, </w:t>
      </w:r>
    </w:p>
    <w:p w14:paraId="7DD38335" w14:textId="77777777" w:rsidR="006140A5" w:rsidRPr="006140A5" w:rsidRDefault="006140A5" w:rsidP="006140A5">
      <w:pPr>
        <w:numPr>
          <w:ilvl w:val="0"/>
          <w:numId w:val="1"/>
        </w:numPr>
      </w:pPr>
      <w:r w:rsidRPr="006140A5">
        <w:t xml:space="preserve">medications, </w:t>
      </w:r>
    </w:p>
    <w:p w14:paraId="365D96B2" w14:textId="77777777" w:rsidR="006140A5" w:rsidRPr="006140A5" w:rsidRDefault="006140A5" w:rsidP="006140A5">
      <w:pPr>
        <w:numPr>
          <w:ilvl w:val="0"/>
          <w:numId w:val="1"/>
        </w:numPr>
      </w:pPr>
      <w:r w:rsidRPr="006140A5">
        <w:t xml:space="preserve">environmental exposures, </w:t>
      </w:r>
    </w:p>
    <w:p w14:paraId="3F6AE9AE" w14:textId="77777777" w:rsidR="006140A5" w:rsidRPr="006140A5" w:rsidRDefault="006140A5" w:rsidP="006140A5">
      <w:pPr>
        <w:numPr>
          <w:ilvl w:val="0"/>
          <w:numId w:val="1"/>
        </w:numPr>
      </w:pPr>
      <w:r w:rsidRPr="006140A5">
        <w:t xml:space="preserve">nutritional status, </w:t>
      </w:r>
    </w:p>
    <w:p w14:paraId="039388D6" w14:textId="77777777" w:rsidR="006140A5" w:rsidRPr="006140A5" w:rsidRDefault="006140A5" w:rsidP="006140A5">
      <w:pPr>
        <w:numPr>
          <w:ilvl w:val="0"/>
          <w:numId w:val="1"/>
        </w:numPr>
      </w:pPr>
      <w:r w:rsidRPr="006140A5">
        <w:t xml:space="preserve">lifestyle factors, </w:t>
      </w:r>
    </w:p>
    <w:p w14:paraId="4DF53E4D" w14:textId="77777777" w:rsidR="006140A5" w:rsidRPr="006140A5" w:rsidRDefault="006140A5" w:rsidP="006140A5">
      <w:pPr>
        <w:numPr>
          <w:ilvl w:val="0"/>
          <w:numId w:val="1"/>
        </w:numPr>
      </w:pPr>
      <w:r w:rsidRPr="006140A5">
        <w:t xml:space="preserve">existing medical conditions, </w:t>
      </w:r>
    </w:p>
    <w:p w14:paraId="5463F187" w14:textId="77777777" w:rsidR="006140A5" w:rsidRPr="006140A5" w:rsidRDefault="006140A5" w:rsidP="006140A5">
      <w:pPr>
        <w:numPr>
          <w:ilvl w:val="0"/>
          <w:numId w:val="1"/>
        </w:numPr>
      </w:pPr>
      <w:r w:rsidRPr="006140A5">
        <w:t xml:space="preserve">and biological variability. </w:t>
      </w:r>
    </w:p>
    <w:p w14:paraId="1935B4EB" w14:textId="77777777" w:rsidR="006140A5" w:rsidRPr="006140A5" w:rsidRDefault="006140A5" w:rsidP="006140A5">
      <w:r w:rsidRPr="006140A5">
        <w:t>No representation is made that any individual will experience specific results from any wellness practice, supplement, educational protocol, or lifestyle strategy discussed.</w:t>
      </w:r>
    </w:p>
    <w:p w14:paraId="3C6A4BED" w14:textId="77777777" w:rsidR="006140A5" w:rsidRPr="006140A5" w:rsidRDefault="006140A5" w:rsidP="006140A5">
      <w:r w:rsidRPr="006140A5">
        <w:pict w14:anchorId="509BD1D5">
          <v:rect id="_x0000_i1026" style="width:0;height:1.5pt" o:hralign="center" o:hrstd="t" o:hr="t" fillcolor="#a0a0a0" stroked="f"/>
        </w:pict>
      </w:r>
    </w:p>
    <w:p w14:paraId="54EF918C" w14:textId="77777777" w:rsidR="006140A5" w:rsidRPr="006140A5" w:rsidRDefault="006140A5" w:rsidP="006140A5">
      <w:pPr>
        <w:rPr>
          <w:b/>
          <w:bCs/>
        </w:rPr>
      </w:pPr>
      <w:r w:rsidRPr="006140A5">
        <w:rPr>
          <w:b/>
          <w:bCs/>
        </w:rPr>
        <w:t>Not a Substitute for Medical Care</w:t>
      </w:r>
    </w:p>
    <w:p w14:paraId="05AF8885" w14:textId="77777777" w:rsidR="006140A5" w:rsidRPr="006140A5" w:rsidRDefault="006140A5" w:rsidP="006140A5">
      <w:r w:rsidRPr="006140A5">
        <w:lastRenderedPageBreak/>
        <w:t>Educational information regarding supplements, nutrition, wellness practices, and lifestyle strategies should not be used as a substitute for professional medical evaluation, diagnosis, treatment, or ongoing healthcare management.</w:t>
      </w:r>
    </w:p>
    <w:p w14:paraId="3A1515EE" w14:textId="77777777" w:rsidR="006140A5" w:rsidRPr="006140A5" w:rsidRDefault="006140A5" w:rsidP="006140A5">
      <w:r w:rsidRPr="006140A5">
        <w:t>Individuals should consult appropriately qualified healthcare professionals before:</w:t>
      </w:r>
    </w:p>
    <w:p w14:paraId="55F72D77" w14:textId="77777777" w:rsidR="006140A5" w:rsidRPr="006140A5" w:rsidRDefault="006140A5" w:rsidP="006140A5">
      <w:pPr>
        <w:numPr>
          <w:ilvl w:val="0"/>
          <w:numId w:val="2"/>
        </w:numPr>
      </w:pPr>
      <w:r w:rsidRPr="006140A5">
        <w:t xml:space="preserve">beginning a new supplement, </w:t>
      </w:r>
    </w:p>
    <w:p w14:paraId="06981E8D" w14:textId="77777777" w:rsidR="006140A5" w:rsidRPr="006140A5" w:rsidRDefault="006140A5" w:rsidP="006140A5">
      <w:pPr>
        <w:numPr>
          <w:ilvl w:val="0"/>
          <w:numId w:val="2"/>
        </w:numPr>
      </w:pPr>
      <w:r w:rsidRPr="006140A5">
        <w:t xml:space="preserve">changing medications, </w:t>
      </w:r>
    </w:p>
    <w:p w14:paraId="14D8C56B" w14:textId="77777777" w:rsidR="006140A5" w:rsidRPr="006140A5" w:rsidRDefault="006140A5" w:rsidP="006140A5">
      <w:pPr>
        <w:numPr>
          <w:ilvl w:val="0"/>
          <w:numId w:val="2"/>
        </w:numPr>
      </w:pPr>
      <w:r w:rsidRPr="006140A5">
        <w:t xml:space="preserve">making significant dietary changes, </w:t>
      </w:r>
    </w:p>
    <w:p w14:paraId="5B1A4434" w14:textId="77777777" w:rsidR="006140A5" w:rsidRPr="006140A5" w:rsidRDefault="006140A5" w:rsidP="006140A5">
      <w:pPr>
        <w:numPr>
          <w:ilvl w:val="0"/>
          <w:numId w:val="2"/>
        </w:numPr>
      </w:pPr>
      <w:r w:rsidRPr="006140A5">
        <w:t xml:space="preserve">initiating wellness protocols, </w:t>
      </w:r>
    </w:p>
    <w:p w14:paraId="19B770C9" w14:textId="77777777" w:rsidR="006140A5" w:rsidRPr="006140A5" w:rsidRDefault="006140A5" w:rsidP="006140A5">
      <w:pPr>
        <w:numPr>
          <w:ilvl w:val="0"/>
          <w:numId w:val="2"/>
        </w:numPr>
      </w:pPr>
      <w:r w:rsidRPr="006140A5">
        <w:t xml:space="preserve">discontinuing treatments, </w:t>
      </w:r>
    </w:p>
    <w:p w14:paraId="2D6E8618" w14:textId="77777777" w:rsidR="006140A5" w:rsidRPr="006140A5" w:rsidRDefault="006140A5" w:rsidP="006140A5">
      <w:pPr>
        <w:numPr>
          <w:ilvl w:val="0"/>
          <w:numId w:val="2"/>
        </w:numPr>
      </w:pPr>
      <w:r w:rsidRPr="006140A5">
        <w:t xml:space="preserve">or implementing health-related interventions. </w:t>
      </w:r>
    </w:p>
    <w:p w14:paraId="041B0D9B" w14:textId="77777777" w:rsidR="006140A5" w:rsidRPr="006140A5" w:rsidRDefault="006140A5" w:rsidP="006140A5">
      <w:r w:rsidRPr="006140A5">
        <w:pict w14:anchorId="04CDC148">
          <v:rect id="_x0000_i1027" style="width:0;height:1.5pt" o:hralign="center" o:hrstd="t" o:hr="t" fillcolor="#a0a0a0" stroked="f"/>
        </w:pict>
      </w:r>
    </w:p>
    <w:p w14:paraId="1CE5A058" w14:textId="77777777" w:rsidR="006140A5" w:rsidRPr="006140A5" w:rsidRDefault="006140A5" w:rsidP="006140A5">
      <w:pPr>
        <w:rPr>
          <w:b/>
          <w:bCs/>
        </w:rPr>
      </w:pPr>
      <w:r w:rsidRPr="006140A5">
        <w:rPr>
          <w:b/>
          <w:bCs/>
        </w:rPr>
        <w:t>Supplement Information</w:t>
      </w:r>
    </w:p>
    <w:p w14:paraId="304509D1" w14:textId="77777777" w:rsidR="006140A5" w:rsidRPr="006140A5" w:rsidRDefault="006140A5" w:rsidP="006140A5">
      <w:r w:rsidRPr="006140A5">
        <w:t>References to supplements, nutrients, botanical products, functional foods, or related wellness products are provided solely for educational discussion.</w:t>
      </w:r>
    </w:p>
    <w:p w14:paraId="63965317" w14:textId="77777777" w:rsidR="006140A5" w:rsidRPr="006140A5" w:rsidRDefault="006140A5" w:rsidP="006140A5">
      <w:r w:rsidRPr="006140A5">
        <w:t>The discussion of a supplement or wellness product does not constitute an endorsement, guarantee of effectiveness, or recommendation for any specific individual.</w:t>
      </w:r>
    </w:p>
    <w:p w14:paraId="18FE9417" w14:textId="77777777" w:rsidR="006140A5" w:rsidRPr="006140A5" w:rsidRDefault="006140A5" w:rsidP="006140A5">
      <w:r w:rsidRPr="006140A5">
        <w:t>Statements regarding supplements have not necessarily been evaluated by regulatory authorities and should not be interpreted as claims to diagnose, treat, cure, or prevent disease.</w:t>
      </w:r>
    </w:p>
    <w:p w14:paraId="7983FE0F" w14:textId="77777777" w:rsidR="006140A5" w:rsidRPr="006140A5" w:rsidRDefault="006140A5" w:rsidP="006140A5">
      <w:r w:rsidRPr="006140A5">
        <w:pict w14:anchorId="647CA605">
          <v:rect id="_x0000_i1028" style="width:0;height:1.5pt" o:hralign="center" o:hrstd="t" o:hr="t" fillcolor="#a0a0a0" stroked="f"/>
        </w:pict>
      </w:r>
    </w:p>
    <w:p w14:paraId="57B67F22" w14:textId="77777777" w:rsidR="006140A5" w:rsidRPr="006140A5" w:rsidRDefault="006140A5" w:rsidP="006140A5">
      <w:pPr>
        <w:rPr>
          <w:b/>
          <w:bCs/>
        </w:rPr>
      </w:pPr>
      <w:r w:rsidRPr="006140A5">
        <w:rPr>
          <w:b/>
          <w:bCs/>
        </w:rPr>
        <w:t>Systems-Based Pattern Mapping and Wellness Education</w:t>
      </w:r>
    </w:p>
    <w:p w14:paraId="0F381498" w14:textId="77777777" w:rsidR="006140A5" w:rsidRPr="006140A5" w:rsidRDefault="006140A5" w:rsidP="006140A5">
      <w:r w:rsidRPr="006140A5">
        <w:t>When supplements, nutritional approaches, wellness practices, or lifestyle interventions are discussed within the context of Systems-Based Pattern Mapping (SBPM), such discussions are intended to support systems-level understanding, physiological inquiry, educational exploration, and pattern recognition.</w:t>
      </w:r>
    </w:p>
    <w:p w14:paraId="757ACB81" w14:textId="77777777" w:rsidR="006140A5" w:rsidRPr="006140A5" w:rsidRDefault="006140A5" w:rsidP="006140A5">
      <w:r w:rsidRPr="006140A5">
        <w:t>These discussions should not be interpreted as individualized treatment plans or medical recommendations.</w:t>
      </w:r>
    </w:p>
    <w:p w14:paraId="02DE0E3A" w14:textId="77777777" w:rsidR="006140A5" w:rsidRPr="006140A5" w:rsidRDefault="006140A5" w:rsidP="006140A5">
      <w:r w:rsidRPr="006140A5">
        <w:pict w14:anchorId="1CF9F6DE">
          <v:rect id="_x0000_i1029" style="width:0;height:1.5pt" o:hralign="center" o:hrstd="t" o:hr="t" fillcolor="#a0a0a0" stroked="f"/>
        </w:pict>
      </w:r>
    </w:p>
    <w:p w14:paraId="1BD46C03" w14:textId="77777777" w:rsidR="006140A5" w:rsidRPr="006140A5" w:rsidRDefault="006140A5" w:rsidP="006140A5">
      <w:pPr>
        <w:rPr>
          <w:b/>
          <w:bCs/>
        </w:rPr>
      </w:pPr>
      <w:r w:rsidRPr="006140A5">
        <w:rPr>
          <w:b/>
          <w:bCs/>
        </w:rPr>
        <w:t>Personal Responsibility</w:t>
      </w:r>
    </w:p>
    <w:p w14:paraId="3F4077A0" w14:textId="77777777" w:rsidR="006140A5" w:rsidRPr="006140A5" w:rsidRDefault="006140A5" w:rsidP="006140A5">
      <w:r w:rsidRPr="006140A5">
        <w:t>Individuals remain responsible for evaluating and determining whether any educational information, wellness strategy, supplement, or lifestyle approach is appropriate for their circumstances.</w:t>
      </w:r>
    </w:p>
    <w:p w14:paraId="2739F903" w14:textId="77777777" w:rsidR="006140A5" w:rsidRPr="006140A5" w:rsidRDefault="006140A5" w:rsidP="006140A5">
      <w:r w:rsidRPr="006140A5">
        <w:t>Healthcare decisions should be made in consultation with qualified professionals familiar with the individual's health history and needs.</w:t>
      </w:r>
    </w:p>
    <w:p w14:paraId="35FF0441" w14:textId="77777777" w:rsidR="00C03700" w:rsidRDefault="00C03700"/>
    <w:sectPr w:rsidR="00C03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51FF8"/>
    <w:multiLevelType w:val="multilevel"/>
    <w:tmpl w:val="3E46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AD696C"/>
    <w:multiLevelType w:val="multilevel"/>
    <w:tmpl w:val="5DC8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972598">
    <w:abstractNumId w:val="0"/>
  </w:num>
  <w:num w:numId="2" w16cid:durableId="927083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A5"/>
    <w:rsid w:val="004C5A54"/>
    <w:rsid w:val="006140A5"/>
    <w:rsid w:val="00A77907"/>
    <w:rsid w:val="00BA6770"/>
    <w:rsid w:val="00C03700"/>
    <w:rsid w:val="00E10AAC"/>
    <w:rsid w:val="00E10B20"/>
    <w:rsid w:val="00E12A2E"/>
    <w:rsid w:val="00E8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27A7"/>
  <w15:chartTrackingRefBased/>
  <w15:docId w15:val="{BF4E5DB5-5285-4457-9B9C-782C05A1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0A5"/>
    <w:rPr>
      <w:rFonts w:eastAsiaTheme="majorEastAsia" w:cstheme="majorBidi"/>
      <w:color w:val="272727" w:themeColor="text1" w:themeTint="D8"/>
    </w:rPr>
  </w:style>
  <w:style w:type="paragraph" w:styleId="Title">
    <w:name w:val="Title"/>
    <w:basedOn w:val="Normal"/>
    <w:next w:val="Normal"/>
    <w:link w:val="TitleChar"/>
    <w:uiPriority w:val="10"/>
    <w:qFormat/>
    <w:rsid w:val="00614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0A5"/>
    <w:pPr>
      <w:spacing w:before="160"/>
      <w:jc w:val="center"/>
    </w:pPr>
    <w:rPr>
      <w:i/>
      <w:iCs/>
      <w:color w:val="404040" w:themeColor="text1" w:themeTint="BF"/>
    </w:rPr>
  </w:style>
  <w:style w:type="character" w:customStyle="1" w:styleId="QuoteChar">
    <w:name w:val="Quote Char"/>
    <w:basedOn w:val="DefaultParagraphFont"/>
    <w:link w:val="Quote"/>
    <w:uiPriority w:val="29"/>
    <w:rsid w:val="006140A5"/>
    <w:rPr>
      <w:i/>
      <w:iCs/>
      <w:color w:val="404040" w:themeColor="text1" w:themeTint="BF"/>
    </w:rPr>
  </w:style>
  <w:style w:type="paragraph" w:styleId="ListParagraph">
    <w:name w:val="List Paragraph"/>
    <w:basedOn w:val="Normal"/>
    <w:uiPriority w:val="34"/>
    <w:qFormat/>
    <w:rsid w:val="006140A5"/>
    <w:pPr>
      <w:ind w:left="720"/>
      <w:contextualSpacing/>
    </w:pPr>
  </w:style>
  <w:style w:type="character" w:styleId="IntenseEmphasis">
    <w:name w:val="Intense Emphasis"/>
    <w:basedOn w:val="DefaultParagraphFont"/>
    <w:uiPriority w:val="21"/>
    <w:qFormat/>
    <w:rsid w:val="006140A5"/>
    <w:rPr>
      <w:i/>
      <w:iCs/>
      <w:color w:val="0F4761" w:themeColor="accent1" w:themeShade="BF"/>
    </w:rPr>
  </w:style>
  <w:style w:type="paragraph" w:styleId="IntenseQuote">
    <w:name w:val="Intense Quote"/>
    <w:basedOn w:val="Normal"/>
    <w:next w:val="Normal"/>
    <w:link w:val="IntenseQuoteChar"/>
    <w:uiPriority w:val="30"/>
    <w:qFormat/>
    <w:rsid w:val="00614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0A5"/>
    <w:rPr>
      <w:i/>
      <w:iCs/>
      <w:color w:val="0F4761" w:themeColor="accent1" w:themeShade="BF"/>
    </w:rPr>
  </w:style>
  <w:style w:type="character" w:styleId="IntenseReference">
    <w:name w:val="Intense Reference"/>
    <w:basedOn w:val="DefaultParagraphFont"/>
    <w:uiPriority w:val="32"/>
    <w:qFormat/>
    <w:rsid w:val="006140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2841</Characters>
  <Application>Microsoft Office Word</Application>
  <DocSecurity>0</DocSecurity>
  <Lines>72</Lines>
  <Paragraphs>54</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Lynn Derwart Reh</dc:creator>
  <cp:keywords/>
  <dc:description/>
  <cp:lastModifiedBy>Julie Lynn Derwart Reh</cp:lastModifiedBy>
  <cp:revision>1</cp:revision>
  <dcterms:created xsi:type="dcterms:W3CDTF">2026-05-30T18:03:00Z</dcterms:created>
  <dcterms:modified xsi:type="dcterms:W3CDTF">2026-05-30T18:05:00Z</dcterms:modified>
</cp:coreProperties>
</file>